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 w:after="0"/>
        <w:ind w:left="20" w:hanging="0"/>
        <w:jc w:val="center"/>
        <w:rPr>
          <w:rFonts w:ascii="Calibri" w:hAnsi="Calibri" w:cs="Calibri" w:asciiTheme="minorHAnsi" w:cstheme="minorHAnsi" w:hAnsiTheme="minorHAnsi"/>
          <w:b/>
          <w:bCs/>
          <w:sz w:val="40"/>
          <w:szCs w:val="40"/>
        </w:rPr>
      </w:pPr>
      <w:r>
        <w:rPr>
          <w:rFonts w:cs="Calibri" w:ascii="Calibri" w:hAnsi="Calibri" w:asciiTheme="minorHAnsi" w:cstheme="minorHAnsi" w:hAnsiTheme="minorHAnsi"/>
          <w:b/>
          <w:bCs/>
          <w:sz w:val="40"/>
          <w:szCs w:val="40"/>
        </w:rPr>
        <w:t>Safeguarding Learner Policy</w:t>
      </w:r>
    </w:p>
    <w:p>
      <w:pPr>
        <w:pStyle w:val="TextBody"/>
        <w:spacing w:before="4" w:after="0"/>
        <w:rPr>
          <w:rFonts w:ascii="Times New Roman" w:hAnsi="Times New Roman"/>
          <w:sz w:val="27"/>
        </w:rPr>
      </w:pPr>
      <w:r>
        <w:rPr>
          <w:rFonts w:ascii="Times New Roman" w:hAnsi="Times New Roman"/>
          <w:sz w:val="27"/>
        </w:rPr>
      </w: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Heading1"/>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staff working with children and vulnerable adults have a legal duty to work together</w:t>
      </w:r>
    </w:p>
    <w:p>
      <w:pPr>
        <w:pStyle w:val="TextBody"/>
        <w:spacing w:lineRule="exact" w:line="256" w:before="3" w:after="0"/>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 xml:space="preserve">to protect them from harm or abuse. </w:t>
      </w: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position w:val="1"/>
          <w:sz w:val="24"/>
          <w:szCs w:val="24"/>
        </w:rPr>
        <w:t xml:space="preserve"> Safeguarding lead has </w:t>
      </w:r>
      <w:r>
        <w:rPr>
          <w:rFonts w:cs="Calibri" w:ascii="Calibri" w:hAnsi="Calibri" w:asciiTheme="minorHAnsi" w:cstheme="minorHAnsi" w:hAnsiTheme="minorHAnsi"/>
          <w:sz w:val="24"/>
          <w:szCs w:val="24"/>
        </w:rPr>
        <w:t xml:space="preserve">overall responsibility for the safeguarding of learners, and is responsible for ensuring the effectiveness of all work done to safeguard and promote the welfare of children and young people on programme. </w:t>
      </w: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 xml:space="preserve">Policy covers: </w:t>
      </w:r>
    </w:p>
    <w:p>
      <w:pPr>
        <w:pStyle w:val="TextBody"/>
        <w:numPr>
          <w:ilvl w:val="0"/>
          <w:numId w:val="2"/>
        </w:numPr>
        <w:spacing w:lineRule="exact" w:line="256" w:before="3" w:after="0"/>
        <w:rPr>
          <w:rFonts w:ascii="Calibri" w:hAnsi="Calibri" w:cs="Calibri" w:asciiTheme="minorHAnsi" w:cstheme="minorHAnsi" w:hAnsiTheme="minorHAnsi"/>
          <w:color w:val="333333"/>
          <w:sz w:val="24"/>
          <w:szCs w:val="24"/>
        </w:rPr>
      </w:pPr>
      <w:r>
        <w:rPr>
          <w:rFonts w:cs="Calibri" w:ascii="Calibri" w:hAnsi="Calibri" w:asciiTheme="minorHAnsi" w:cstheme="minorHAnsi" w:hAnsiTheme="minorHAnsi"/>
          <w:sz w:val="24"/>
          <w:szCs w:val="24"/>
        </w:rPr>
        <w:t>The recruitment and employment of staff working with vulnerable adults and the provision of a safe learning environment under the requirements of this</w:t>
      </w:r>
      <w:r>
        <w:rPr>
          <w:rFonts w:cs="Calibri" w:ascii="Calibri" w:hAnsi="Calibri" w:asciiTheme="minorHAnsi" w:cstheme="minorHAnsi" w:hAnsiTheme="minorHAnsi"/>
          <w:spacing w:val="-24"/>
          <w:sz w:val="24"/>
          <w:szCs w:val="24"/>
        </w:rPr>
        <w:t xml:space="preserve"> </w:t>
      </w:r>
      <w:r>
        <w:rPr>
          <w:rFonts w:cs="Calibri" w:ascii="Calibri" w:hAnsi="Calibri" w:asciiTheme="minorHAnsi" w:cstheme="minorHAnsi" w:hAnsiTheme="minorHAnsi"/>
          <w:sz w:val="24"/>
          <w:szCs w:val="24"/>
        </w:rPr>
        <w:t xml:space="preserve">act </w:t>
      </w:r>
    </w:p>
    <w:p>
      <w:pPr>
        <w:pStyle w:val="TextBody"/>
        <w:numPr>
          <w:ilvl w:val="0"/>
          <w:numId w:val="2"/>
        </w:numPr>
        <w:spacing w:lineRule="exact" w:line="256"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Training &amp; Development Manager &amp; HR department are responsible for ensuring that </w:t>
      </w: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follows safer recruitment procedures. This includes carrying out Disclosure and Baring checks on all staff working with vulnerable learners every three years. This also applies where staffs have already been checked by a previous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employer.</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headerReference w:type="default" r:id="rId2"/>
          <w:footerReference w:type="default" r:id="rId3"/>
          <w:type w:val="nextPage"/>
          <w:pgSz w:w="11906" w:h="16838"/>
          <w:pgMar w:left="1340" w:right="1320" w:gutter="0" w:header="720" w:top="1020" w:footer="720" w:bottom="1380"/>
          <w:pgNumType w:fmt="decimal"/>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Statement of Intent:</w:t>
      </w:r>
    </w:p>
    <w:p>
      <w:pPr>
        <w:pStyle w:val="TextBody"/>
        <w:ind w:left="10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position w:val="1"/>
          <w:sz w:val="24"/>
          <w:szCs w:val="24"/>
        </w:rPr>
        <w:t xml:space="preserve">’s </w:t>
      </w:r>
      <w:r>
        <w:rPr>
          <w:rFonts w:cs="Calibri" w:ascii="Calibri" w:hAnsi="Calibri" w:asciiTheme="minorHAnsi" w:cstheme="minorHAnsi" w:hAnsiTheme="minorHAnsi"/>
          <w:sz w:val="24"/>
          <w:szCs w:val="24"/>
        </w:rPr>
        <w:t>first priority is to ensure the safety and protection of all learners</w:t>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taking part in learning. In order to protect young people and vulnerable adults from harm we</w:t>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will act in accordance with the following legislation and guidance: ‘No Secrets’ DH 2000</w:t>
      </w:r>
    </w:p>
    <w:p>
      <w:pPr>
        <w:pStyle w:val="TextBody"/>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Scope</w:t>
      </w:r>
    </w:p>
    <w:p>
      <w:pPr>
        <w:pStyle w:val="TextBody"/>
        <w:spacing w:before="1" w:after="0"/>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policy statement applies to all learning provided by </w:t>
      </w: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sz w:val="24"/>
          <w:szCs w:val="24"/>
        </w:rPr>
        <w:t>, and includes:</w:t>
      </w:r>
    </w:p>
    <w:p>
      <w:pPr>
        <w:pStyle w:val="TextBody"/>
        <w:numPr>
          <w:ilvl w:val="0"/>
          <w:numId w:val="3"/>
        </w:numPr>
        <w:spacing w:lineRule="auto" w:line="288"/>
        <w:ind w:left="720" w:right="572"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 learning provision for adults delivered directly by employed staff </w:t>
      </w:r>
    </w:p>
    <w:p>
      <w:pPr>
        <w:pStyle w:val="TextBody"/>
        <w:numPr>
          <w:ilvl w:val="0"/>
          <w:numId w:val="3"/>
        </w:numPr>
        <w:spacing w:lineRule="auto" w:line="288"/>
        <w:ind w:left="720" w:right="572"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learning provision for adults commissioned through partnership</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arrangements</w:t>
      </w:r>
    </w:p>
    <w:p>
      <w:pPr>
        <w:pStyle w:val="Heading1"/>
        <w:spacing w:before="205" w:after="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Definitions</w:t>
      </w:r>
    </w:p>
    <w:p>
      <w:pPr>
        <w:pStyle w:val="TextBody"/>
        <w:spacing w:before="11"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100" w:right="116"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Safeguarding</w:t>
      </w:r>
      <w:r>
        <w:rPr>
          <w:rFonts w:cs="Calibri" w:ascii="Calibri" w:hAnsi="Calibri" w:asciiTheme="minorHAnsi" w:cstheme="minorHAnsi" w:hAnsiTheme="minorHAnsi"/>
          <w:b/>
          <w:spacing w:val="-15"/>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term</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“safeguarding”</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describes</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broader</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preventative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precautionary approach to planning and procedures that are necessary to protect children, young people and vulnerable adults from any potential harm or</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damage.</w:t>
      </w:r>
    </w:p>
    <w:p>
      <w:pPr>
        <w:pStyle w:val="TextBody"/>
        <w:spacing w:lineRule="exact" w:line="252" w:before="1" w:after="0"/>
        <w:ind w:left="10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Safeguarding means:</w:t>
      </w:r>
    </w:p>
    <w:p>
      <w:pPr>
        <w:pStyle w:val="TextBody"/>
        <w:numPr>
          <w:ilvl w:val="0"/>
          <w:numId w:val="4"/>
        </w:numPr>
        <w:spacing w:lineRule="auto" w:line="290"/>
        <w:ind w:left="720" w:right="4753"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Protection from abuse and neglect </w:t>
      </w:r>
    </w:p>
    <w:p>
      <w:pPr>
        <w:pStyle w:val="TextBody"/>
        <w:numPr>
          <w:ilvl w:val="0"/>
          <w:numId w:val="4"/>
        </w:numPr>
        <w:spacing w:lineRule="auto" w:line="290"/>
        <w:ind w:left="720" w:right="4753"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Promotion of health and development</w:t>
      </w:r>
    </w:p>
    <w:p>
      <w:pPr>
        <w:pStyle w:val="TextBody"/>
        <w:numPr>
          <w:ilvl w:val="0"/>
          <w:numId w:val="4"/>
        </w:numPr>
        <w:spacing w:lineRule="auto" w:line="290"/>
        <w:ind w:left="720" w:right="214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safety and care relating to the environment and activity</w:t>
      </w:r>
    </w:p>
    <w:p>
      <w:pPr>
        <w:pStyle w:val="TextBody"/>
        <w:numPr>
          <w:ilvl w:val="0"/>
          <w:numId w:val="4"/>
        </w:numPr>
        <w:spacing w:lineRule="auto" w:line="290"/>
        <w:ind w:left="720" w:right="2148"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Ensuring optimum life chances</w:t>
      </w:r>
    </w:p>
    <w:p>
      <w:pPr>
        <w:pStyle w:val="Normal"/>
        <w:spacing w:before="198" w:after="0"/>
        <w:ind w:left="100" w:right="115"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Child’</w:t>
      </w:r>
      <w:r>
        <w:rPr>
          <w:rFonts w:cs="Calibri" w:ascii="Calibri" w:hAnsi="Calibri" w:asciiTheme="minorHAnsi" w:cstheme="minorHAnsi" w:hAnsiTheme="minorHAnsi"/>
          <w:b/>
          <w:spacing w:val="-3"/>
          <w:sz w:val="24"/>
          <w:szCs w:val="24"/>
        </w:rPr>
        <w:t xml:space="preserve"> </w:t>
      </w:r>
      <w:r>
        <w:rPr>
          <w:rFonts w:cs="Calibri" w:ascii="Calibri" w:hAnsi="Calibri" w:asciiTheme="minorHAnsi" w:cstheme="minorHAnsi" w:hAnsiTheme="minorHAnsi"/>
          <w:b/>
          <w:sz w:val="24"/>
          <w:szCs w:val="24"/>
        </w:rPr>
        <w:t>or</w:t>
      </w:r>
      <w:r>
        <w:rPr>
          <w:rFonts w:cs="Calibri" w:ascii="Calibri" w:hAnsi="Calibri" w:asciiTheme="minorHAnsi" w:cstheme="minorHAnsi" w:hAnsiTheme="minorHAnsi"/>
          <w:b/>
          <w:spacing w:val="-6"/>
          <w:sz w:val="24"/>
          <w:szCs w:val="24"/>
        </w:rPr>
        <w:t xml:space="preserve"> </w:t>
      </w:r>
      <w:r>
        <w:rPr>
          <w:rFonts w:cs="Calibri" w:ascii="Calibri" w:hAnsi="Calibri" w:asciiTheme="minorHAnsi" w:cstheme="minorHAnsi" w:hAnsiTheme="minorHAnsi"/>
          <w:b/>
          <w:sz w:val="24"/>
          <w:szCs w:val="24"/>
        </w:rPr>
        <w:t>‘Young</w:t>
      </w:r>
      <w:r>
        <w:rPr>
          <w:rFonts w:cs="Calibri" w:ascii="Calibri" w:hAnsi="Calibri" w:asciiTheme="minorHAnsi" w:cstheme="minorHAnsi" w:hAnsiTheme="minorHAnsi"/>
          <w:b/>
          <w:spacing w:val="-2"/>
          <w:sz w:val="24"/>
          <w:szCs w:val="24"/>
        </w:rPr>
        <w:t xml:space="preserve"> </w:t>
      </w:r>
      <w:r>
        <w:rPr>
          <w:rFonts w:cs="Calibri" w:ascii="Calibri" w:hAnsi="Calibri" w:asciiTheme="minorHAnsi" w:cstheme="minorHAnsi" w:hAnsiTheme="minorHAnsi"/>
          <w:b/>
          <w:sz w:val="24"/>
          <w:szCs w:val="24"/>
        </w:rPr>
        <w:t>Adult’</w:t>
      </w:r>
      <w:r>
        <w:rPr>
          <w:rFonts w:cs="Calibri" w:ascii="Calibri" w:hAnsi="Calibri" w:asciiTheme="minorHAnsi" w:cstheme="minorHAnsi" w:hAnsiTheme="minorHAnsi"/>
          <w:b/>
          <w:spacing w:val="-1"/>
          <w:sz w:val="24"/>
          <w:szCs w:val="24"/>
        </w:rPr>
        <w:t xml:space="preserve"> </w:t>
      </w:r>
      <w:r>
        <w:rPr>
          <w:rFonts w:cs="Calibri" w:ascii="Calibri" w:hAnsi="Calibri" w:asciiTheme="minorHAnsi" w:cstheme="minorHAnsi" w:hAnsiTheme="minorHAnsi"/>
          <w:sz w:val="24"/>
          <w:szCs w:val="24"/>
        </w:rPr>
        <w:t>An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individual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considered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be</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or</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young</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person</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up</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their 18th</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birthday</w:t>
      </w:r>
    </w:p>
    <w:p>
      <w:pPr>
        <w:pStyle w:val="TextBody"/>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 w:after="0"/>
        <w:ind w:left="100" w:right="117"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b/>
          <w:sz w:val="24"/>
          <w:szCs w:val="24"/>
        </w:rPr>
        <w:t>‘</w:t>
      </w:r>
      <w:r>
        <w:rPr>
          <w:rFonts w:cs="Calibri" w:ascii="Calibri" w:hAnsi="Calibri" w:asciiTheme="minorHAnsi" w:cstheme="minorHAnsi" w:hAnsiTheme="minorHAnsi"/>
          <w:b/>
          <w:sz w:val="24"/>
          <w:szCs w:val="24"/>
        </w:rPr>
        <w:t xml:space="preserve">Vulnerable Adult’ </w:t>
      </w:r>
      <w:r>
        <w:rPr>
          <w:rFonts w:cs="Calibri" w:ascii="Calibri" w:hAnsi="Calibri" w:asciiTheme="minorHAnsi" w:cstheme="minorHAnsi" w:hAnsiTheme="minorHAnsi"/>
          <w:sz w:val="24"/>
          <w:szCs w:val="24"/>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pPr>
        <w:pStyle w:val="TextBody"/>
        <w:spacing w:before="1" w:after="0"/>
        <w:ind w:left="820" w:right="1645" w:hanging="72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 w:after="0"/>
        <w:ind w:left="820" w:right="1645" w:hanging="72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list below is not exhaustive but a vulnerable adult may be someone</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who: is elderly and frail</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mental disorder</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physical or sensory disability has a severe physical illness</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is a substance misuser is homeless</w:t>
      </w:r>
    </w:p>
    <w:p>
      <w:pPr>
        <w:pStyle w:val="TextBody"/>
        <w:numPr>
          <w:ilvl w:val="0"/>
          <w:numId w:val="5"/>
        </w:numPr>
        <w:spacing w:before="1" w:after="0"/>
        <w:ind w:left="820" w:right="164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has a learning disability</w:t>
      </w:r>
    </w:p>
    <w:p>
      <w:pPr>
        <w:pStyle w:val="TextBody"/>
        <w:spacing w:before="1" w:after="0"/>
        <w:ind w:right="1645"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Abuse’ is</w:t>
      </w:r>
    </w:p>
    <w:p>
      <w:pPr>
        <w:pStyle w:val="TextBody"/>
        <w:spacing w:before="3" w:after="0"/>
        <w:ind w:left="100" w:right="161"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t>
      </w:r>
      <w:r>
        <w:rPr>
          <w:rFonts w:cs="Calibri" w:ascii="Calibri" w:hAnsi="Calibri" w:asciiTheme="minorHAnsi" w:cstheme="minorHAnsi" w:hAnsiTheme="minorHAnsi"/>
          <w:sz w:val="24"/>
          <w:szCs w:val="24"/>
        </w:rPr>
        <w:t>a violation of an individual’s human and civil rights by any other person or persons” (‘No Secrets’ DH 2000). Abuse may consist of a single act or repeated acts, abuse may happen intentionally or unintentionally and can take place in any relationship or setting. Examples of abuse that could occur in a learning environment include:</w:t>
      </w:r>
    </w:p>
    <w:p>
      <w:pPr>
        <w:pStyle w:val="TextBody"/>
        <w:spacing w:lineRule="exact" w:line="252"/>
        <w:ind w:left="8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Physical abuse – shoving, hitting, slapping</w:t>
      </w:r>
    </w:p>
    <w:p>
      <w:pPr>
        <w:pStyle w:val="TextBody"/>
        <w:spacing w:before="54" w:after="0"/>
        <w:ind w:left="8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Sexual abuse - involvement in any direct or indirect (e.g. innuendo, pornography) activity against the learner’s will or knowledge</w:t>
      </w:r>
    </w:p>
    <w:p>
      <w:pPr>
        <w:pStyle w:val="TextBody"/>
        <w:spacing w:lineRule="auto" w:line="290" w:before="53" w:after="0"/>
        <w:ind w:left="820" w:right="1589"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Emotional/psychological abuse e.g. intimidation, bullying or humiliation Discriminatory abuse e.g. racial, sexual or religious harassment Financial or material exploitation e.g. coercing money or goods</w:t>
      </w:r>
    </w:p>
    <w:p>
      <w:pPr>
        <w:pStyle w:val="TextBody"/>
        <w:ind w:left="820" w:right="75"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Institutional abuse e.g. failure to ensure privacy, dignity or uphold individual human and civil rights.</w:t>
      </w:r>
    </w:p>
    <w:p>
      <w:pPr>
        <w:pStyle w:val="TextBody"/>
        <w:spacing w:before="53" w:after="0"/>
        <w:ind w:left="82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Neglect or acts of omission e.g. ignoring physical or medical needs, failure to access appropriate health, social care or educational services, withholding medication.</w:t>
      </w:r>
    </w:p>
    <w:p>
      <w:pPr>
        <w:pStyle w:val="TextBody"/>
        <w:spacing w:before="5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100" w:right="156"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 abuser: may be anyone including relatives, friends, professional staff, other learners and service-users, neighbours, care workers, volunteers, and strangers.</w:t>
      </w:r>
    </w:p>
    <w:p>
      <w:pPr>
        <w:pStyle w:val="TextBody"/>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Heading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Policy Statement</w:t>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is committed to promoting safeguarding through the provision  of an</w:t>
      </w:r>
    </w:p>
    <w:p>
      <w:pPr>
        <w:pStyle w:val="TextBody"/>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inclusive, supportive and safe environment for its learners, staff and others closely associated with its work and affirms the rights of individuals to be treated fairly and with respect.</w:t>
      </w:r>
    </w:p>
    <w:p>
      <w:pPr>
        <w:pStyle w:val="TextBody"/>
        <w:spacing w:before="94" w:after="0"/>
        <w:ind w:left="46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color w:val="333333"/>
          <w:position w:val="1"/>
          <w:sz w:val="24"/>
          <w:szCs w:val="24"/>
          <w:highlight w:val="yellow"/>
        </w:rPr>
        <w:t>AgriTech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intends to pursue this commitment by</w:t>
      </w:r>
    </w:p>
    <w:p>
      <w:pPr>
        <w:pStyle w:val="Heading1"/>
        <w:numPr>
          <w:ilvl w:val="0"/>
          <w:numId w:val="1"/>
        </w:numPr>
        <w:tabs>
          <w:tab w:val="clear" w:pos="720"/>
          <w:tab w:val="left" w:pos="343" w:leader="none"/>
        </w:tabs>
        <w:spacing w:before="0" w:after="0"/>
        <w:ind w:left="100" w:right="13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Promoting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culture</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value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respect</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within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supportive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learning environment</w:t>
      </w:r>
    </w:p>
    <w:p>
      <w:pPr>
        <w:pStyle w:val="TextBody"/>
        <w:numPr>
          <w:ilvl w:val="1"/>
          <w:numId w:val="6"/>
        </w:numPr>
        <w:spacing w:before="63" w:after="0"/>
        <w:ind w:left="1440" w:right="156"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that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7"/>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learning</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support</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contact with learners have a current Disclosure and Barring check for working with adults and/or</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children</w:t>
      </w:r>
    </w:p>
    <w:p>
      <w:pPr>
        <w:pStyle w:val="TextBody"/>
        <w:numPr>
          <w:ilvl w:val="1"/>
          <w:numId w:val="6"/>
        </w:numPr>
        <w:spacing w:before="54" w:after="0"/>
        <w:ind w:left="1440" w:right="157"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accessible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for</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tutoring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staff</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subcontracting</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providers on equality, diversity, bullying, harassment, dignity and respect in the learning environment</w:t>
      </w:r>
    </w:p>
    <w:p>
      <w:pPr>
        <w:pStyle w:val="TextBody"/>
        <w:numPr>
          <w:ilvl w:val="1"/>
          <w:numId w:val="6"/>
        </w:numPr>
        <w:spacing w:before="54" w:after="0"/>
        <w:ind w:left="1440" w:right="154"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will provide opportunities for adults and young people to voice any concerns they may have regarding inappropriate behaviour, abuse, harassment or misconduct and providing strong sanctions to deter victimisation or cover up of malpractice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TextBody"/>
        <w:numPr>
          <w:ilvl w:val="1"/>
          <w:numId w:val="6"/>
        </w:numPr>
        <w:spacing w:before="5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Supply information to learners</w:t>
      </w:r>
      <w:r>
        <w:rPr>
          <w:rFonts w:cs="Calibri" w:ascii="Calibri" w:hAnsi="Calibri" w:asciiTheme="minorHAnsi" w:cstheme="minorHAnsi" w:hAnsiTheme="minorHAnsi"/>
          <w:spacing w:val="60"/>
          <w:sz w:val="24"/>
          <w:szCs w:val="24"/>
        </w:rPr>
        <w:t xml:space="preserve"> </w:t>
      </w:r>
      <w:r>
        <w:rPr>
          <w:rFonts w:cs="Calibri" w:ascii="Calibri" w:hAnsi="Calibri" w:asciiTheme="minorHAnsi" w:cstheme="minorHAnsi" w:hAnsiTheme="minorHAnsi"/>
          <w:sz w:val="24"/>
          <w:szCs w:val="24"/>
        </w:rPr>
        <w:t xml:space="preserve">on </w:t>
      </w: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procedures for following</w:t>
      </w:r>
    </w:p>
    <w:p>
      <w:pPr>
        <w:pStyle w:val="TextBody"/>
        <w:spacing w:before="1" w:after="0"/>
        <w:ind w:left="144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up complaints relating to the conduct of tutoring staff and/or other learners</w:t>
      </w:r>
    </w:p>
    <w:p>
      <w:pPr>
        <w:pStyle w:val="TextBody"/>
        <w:numPr>
          <w:ilvl w:val="1"/>
          <w:numId w:val="6"/>
        </w:numPr>
        <w:spacing w:before="53" w:after="0"/>
        <w:ind w:left="1440" w:right="75"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Require all tutoring staff and others associated with the delivery of our provision to carry and produce appropriate identification on request</w:t>
      </w:r>
    </w:p>
    <w:p>
      <w:pPr>
        <w:pStyle w:val="TextBody"/>
        <w:numPr>
          <w:ilvl w:val="1"/>
          <w:numId w:val="6"/>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Ensure that premises used to deliver learning activities are risk assessed by appropriately trained staff</w:t>
      </w:r>
    </w:p>
    <w:p>
      <w:pPr>
        <w:pStyle w:val="TextBody"/>
        <w:numPr>
          <w:ilvl w:val="1"/>
          <w:numId w:val="6"/>
        </w:numPr>
        <w:spacing w:lineRule="auto" w:line="288" w:before="55" w:after="0"/>
        <w:ind w:left="1440" w:right="696"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learning activities are risk assessed by appropriately trained staff </w:t>
      </w:r>
    </w:p>
    <w:p>
      <w:pPr>
        <w:pStyle w:val="TextBody"/>
        <w:numPr>
          <w:ilvl w:val="1"/>
          <w:numId w:val="6"/>
        </w:numPr>
        <w:spacing w:lineRule="auto" w:line="288" w:before="55" w:after="0"/>
        <w:ind w:left="1440" w:right="696"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Ensure that care and safety issues and concerns are reported </w:t>
      </w:r>
    </w:p>
    <w:p>
      <w:pPr>
        <w:pStyle w:val="Heading1"/>
        <w:numPr>
          <w:ilvl w:val="0"/>
          <w:numId w:val="1"/>
        </w:numPr>
        <w:tabs>
          <w:tab w:val="clear" w:pos="720"/>
          <w:tab w:val="left" w:pos="350" w:leader="none"/>
        </w:tabs>
        <w:spacing w:before="202" w:after="0"/>
        <w:ind w:left="100" w:right="161"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Providing Information, training and briefings on safeguarding vulnerable adults and children that</w:t>
      </w:r>
      <w:r>
        <w:rPr>
          <w:rFonts w:cs="Calibri" w:ascii="Calibri" w:hAnsi="Calibri" w:asciiTheme="minorHAnsi" w:cstheme="minorHAnsi" w:hAnsiTheme="minorHAnsi"/>
          <w:spacing w:val="-9"/>
          <w:sz w:val="24"/>
          <w:szCs w:val="24"/>
        </w:rPr>
        <w:t xml:space="preserve"> </w:t>
      </w:r>
      <w:r>
        <w:rPr>
          <w:rFonts w:cs="Calibri" w:ascii="Calibri" w:hAnsi="Calibri" w:asciiTheme="minorHAnsi" w:cstheme="minorHAnsi" w:hAnsiTheme="minorHAnsi"/>
          <w:sz w:val="24"/>
          <w:szCs w:val="24"/>
        </w:rPr>
        <w:t>includes:</w:t>
      </w:r>
    </w:p>
    <w:p>
      <w:pPr>
        <w:pStyle w:val="TextBody"/>
        <w:numPr>
          <w:ilvl w:val="1"/>
          <w:numId w:val="7"/>
        </w:numPr>
        <w:spacing w:before="6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Include information on Safeguarding as part of learner induction</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information to tutoring staff and learners about the standards we expect with regard to confidentiality and disclosure</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TextBody"/>
        <w:spacing w:before="6"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numPr>
          <w:ilvl w:val="1"/>
          <w:numId w:val="7"/>
        </w:numPr>
        <w:spacing w:before="94"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appropriate training for tutoring staff on safeguarding, disclosure and diversity matters</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Distribute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all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internal</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signs</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of</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abuse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action</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6"/>
          <w:sz w:val="24"/>
          <w:szCs w:val="24"/>
        </w:rPr>
        <w:t xml:space="preserve"> </w:t>
      </w:r>
      <w:r>
        <w:rPr>
          <w:rFonts w:cs="Calibri" w:ascii="Calibri" w:hAnsi="Calibri" w:asciiTheme="minorHAnsi" w:cstheme="minorHAnsi" w:hAnsiTheme="minorHAnsi"/>
          <w:sz w:val="24"/>
          <w:szCs w:val="24"/>
        </w:rPr>
        <w:t>take</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if/when abuse is</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reported.</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accessible information for learners, and tutoring staff on the complaint’s procedure</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headline information for learners on safeguarding, e-safety, bullying and harassment equality of opportunity and diversity.</w:t>
      </w:r>
    </w:p>
    <w:p>
      <w:pPr>
        <w:pStyle w:val="TextBody"/>
        <w:numPr>
          <w:ilvl w:val="1"/>
          <w:numId w:val="7"/>
        </w:numPr>
        <w:spacing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Provide learners with the name of the designated safeguarding contact and the procedure to be followed in the case of any alleged case of bullying or harassment</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numPr>
          <w:ilvl w:val="0"/>
          <w:numId w:val="1"/>
        </w:numPr>
        <w:tabs>
          <w:tab w:val="clear" w:pos="720"/>
          <w:tab w:val="left" w:pos="343" w:leader="none"/>
        </w:tabs>
        <w:spacing w:before="0" w:after="0"/>
        <w:ind w:left="100" w:right="117"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Gathering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and</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analysing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information</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from</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matters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related</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feeling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safe in the learning</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environment</w:t>
      </w:r>
    </w:p>
    <w:p>
      <w:pPr>
        <w:pStyle w:val="TextBody"/>
        <w:numPr>
          <w:ilvl w:val="0"/>
          <w:numId w:val="8"/>
        </w:numPr>
        <w:spacing w:lineRule="auto" w:line="240" w:before="58"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Generate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questions</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on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feedback</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form</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to</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elicit</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how</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z w:val="24"/>
          <w:szCs w:val="24"/>
        </w:rPr>
        <w:t>safe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learners</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feel</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in</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the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learning environment</w:t>
      </w:r>
    </w:p>
    <w:p>
      <w:pPr>
        <w:pStyle w:val="TextBody"/>
        <w:numPr>
          <w:ilvl w:val="0"/>
          <w:numId w:val="8"/>
        </w:numPr>
        <w:spacing w:before="5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Analyse the information obtained and acting on the results</w:t>
      </w: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Monitoring the effectiveness of this Safeguarding Policy and reviewing it annually</w:t>
      </w:r>
    </w:p>
    <w:p>
      <w:pPr>
        <w:pStyle w:val="TextBody"/>
        <w:numPr>
          <w:ilvl w:val="0"/>
          <w:numId w:val="9"/>
        </w:numPr>
        <w:spacing w:before="3"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Monitor the safeguarding practices within provision</w:t>
      </w:r>
    </w:p>
    <w:p>
      <w:pPr>
        <w:pStyle w:val="TextBody"/>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Identify and sharing good practice in safeguarding with subcontracted providers</w:t>
      </w:r>
    </w:p>
    <w:p>
      <w:pPr>
        <w:pStyle w:val="TextBody"/>
        <w:numPr>
          <w:ilvl w:val="0"/>
          <w:numId w:val="9"/>
        </w:numPr>
        <w:spacing w:before="39"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Review the </w:t>
      </w: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safeguarding policy on an annual basis</w:t>
      </w:r>
    </w:p>
    <w:p>
      <w:pPr>
        <w:pStyle w:val="TextBody"/>
        <w:numPr>
          <w:ilvl w:val="0"/>
          <w:numId w:val="9"/>
        </w:numPr>
        <w:spacing w:lineRule="auto" w:line="276" w:before="36"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Link with learning networks and the local authority safeguarding unit to ensure that information on safeguarding is current and up to date</w:t>
      </w:r>
    </w:p>
    <w:p>
      <w:pPr>
        <w:pStyle w:val="TextBody"/>
        <w:spacing w:before="211" w:after="0"/>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 enquiries relating to safeguarding issues should be addressed in the first instance to the</w:t>
      </w:r>
    </w:p>
    <w:p>
      <w:pPr>
        <w:pStyle w:val="TextBody"/>
        <w:tabs>
          <w:tab w:val="clear" w:pos="720"/>
          <w:tab w:val="left" w:pos="1391" w:leader="none"/>
          <w:tab w:val="left" w:pos="2879" w:leader="none"/>
          <w:tab w:val="left" w:pos="3689" w:leader="none"/>
        </w:tabs>
        <w:spacing w:lineRule="exact" w:line="253"/>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designated</w:t>
        <w:tab/>
        <w:t>safeguarding</w:t>
        <w:tab/>
        <w:t>officer</w:t>
        <w:tab/>
        <w:t xml:space="preserve">for </w:t>
      </w:r>
      <w:r>
        <w:rPr>
          <w:rFonts w:cs="Calibri" w:ascii="Calibri" w:hAnsi="Calibri" w:asciiTheme="minorHAnsi" w:cstheme="minorHAnsi" w:hAnsiTheme="minorHAnsi"/>
          <w:position w:val="1"/>
          <w:sz w:val="24"/>
          <w:szCs w:val="24"/>
          <w:highlight w:val="yellow"/>
        </w:rPr>
        <w:t>AgriTech University</w:t>
      </w:r>
      <w:r>
        <w:rPr>
          <w:rFonts w:cs="Calibri" w:ascii="Calibri" w:hAnsi="Calibri" w:asciiTheme="minorHAnsi" w:cstheme="minorHAnsi" w:hAnsiTheme="minorHAnsi"/>
          <w:position w:val="1"/>
          <w:sz w:val="24"/>
          <w:szCs w:val="24"/>
        </w:rPr>
        <w:t xml:space="preserve"> </w:t>
      </w:r>
      <w:r>
        <w:rPr>
          <w:rFonts w:cs="Calibri" w:ascii="Calibri" w:hAnsi="Calibri" w:asciiTheme="minorHAnsi" w:cstheme="minorHAnsi" w:hAnsiTheme="minorHAnsi"/>
          <w:sz w:val="24"/>
          <w:szCs w:val="24"/>
        </w:rPr>
        <w:t>Assessment Centre.</w:t>
      </w:r>
    </w:p>
    <w:p>
      <w:pPr>
        <w:pStyle w:val="TextBody"/>
        <w:tabs>
          <w:tab w:val="clear" w:pos="720"/>
          <w:tab w:val="left" w:pos="863" w:leader="none"/>
        </w:tabs>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highlight w:val="yellow"/>
        </w:rPr>
        <w:t>support@agritechuniversity.com</w:t>
      </w:r>
    </w:p>
    <w:p>
      <w:pPr>
        <w:pStyle w:val="TextBody"/>
        <w:tabs>
          <w:tab w:val="clear" w:pos="720"/>
          <w:tab w:val="left" w:pos="863" w:leader="none"/>
        </w:tabs>
        <w:ind w:left="10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an incident</w:t>
      </w:r>
    </w:p>
    <w:p>
      <w:pPr>
        <w:pStyle w:val="TextBody"/>
        <w:spacing w:before="2"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TextBody"/>
        <w:ind w:left="200" w:right="117"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direct or indirect disclosure or signs of abuse are spotted, please inform, in the first instance the Training &amp; Development Manager, with the following information:</w:t>
      </w:r>
    </w:p>
    <w:p>
      <w:pPr>
        <w:pStyle w:val="TextBody"/>
        <w:numPr>
          <w:ilvl w:val="1"/>
          <w:numId w:val="10"/>
        </w:numPr>
        <w:spacing w:lineRule="exact" w:line="252"/>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your concerns are.</w:t>
      </w:r>
    </w:p>
    <w:p>
      <w:pPr>
        <w:pStyle w:val="TextBody"/>
        <w:numPr>
          <w:ilvl w:val="1"/>
          <w:numId w:val="10"/>
        </w:numPr>
        <w:spacing w:lineRule="auto" w:line="288" w:before="54" w:after="0"/>
        <w:ind w:left="1440" w:right="302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Where, when, who from and how you got the concerns. </w:t>
      </w:r>
    </w:p>
    <w:p>
      <w:pPr>
        <w:pStyle w:val="TextBody"/>
        <w:numPr>
          <w:ilvl w:val="1"/>
          <w:numId w:val="10"/>
        </w:numPr>
        <w:spacing w:lineRule="auto" w:line="288" w:before="54" w:after="0"/>
        <w:ind w:left="1440" w:right="3029" w:hanging="36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What you have done.</w:t>
      </w:r>
    </w:p>
    <w:p>
      <w:pPr>
        <w:pStyle w:val="TextBody"/>
        <w:numPr>
          <w:ilvl w:val="1"/>
          <w:numId w:val="10"/>
        </w:numPr>
        <w:spacing w:lineRule="auto" w:line="288" w:before="4" w:after="0"/>
        <w:ind w:left="1440" w:right="2177"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Whether the parents/carers and learner are aware of this referral? </w:t>
      </w:r>
    </w:p>
    <w:p>
      <w:pPr>
        <w:pStyle w:val="TextBody"/>
        <w:numPr>
          <w:ilvl w:val="1"/>
          <w:numId w:val="10"/>
        </w:numPr>
        <w:spacing w:lineRule="auto" w:line="288" w:before="4" w:after="0"/>
        <w:ind w:left="1440" w:right="2177" w:hanging="36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additional info about the learner. (Use the registration form) Contact information for anyone involved</w:t>
      </w:r>
    </w:p>
    <w:p>
      <w:pPr>
        <w:pStyle w:val="TextBody"/>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200" w:right="114" w:hanging="0"/>
        <w:jc w:val="both"/>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Write a report within 48 hours. Include all details of the disclosure including who was present and the reasons for your decision to make a referral. Ensure this is stored in a secure file. If there is immediate danger call 999</w:t>
      </w:r>
    </w:p>
    <w:p>
      <w:pPr>
        <w:sectPr>
          <w:type w:val="continuous"/>
          <w:pgSz w:w="11906" w:h="16838"/>
          <w:pgMar w:left="1340" w:right="1320" w:gutter="0" w:header="720" w:top="1020" w:footer="720" w:bottom="1380"/>
          <w:formProt w:val="false"/>
          <w:textDirection w:val="lrTb"/>
          <w:docGrid w:type="default" w:linePitch="600" w:charSpace="36864"/>
        </w:sectPr>
      </w:pPr>
    </w:p>
    <w:p>
      <w:pPr>
        <w:pStyle w:val="TextBody"/>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200" w:right="114"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ind w:left="2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Send all report to</w:t>
      </w:r>
    </w:p>
    <w:p>
      <w:pPr>
        <w:pStyle w:val="TextBody"/>
        <w:tabs>
          <w:tab w:val="clear" w:pos="720"/>
          <w:tab w:val="left" w:pos="863" w:leader="none"/>
        </w:tabs>
        <w:ind w:left="1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Safeguarding Officer; </w:t>
      </w:r>
      <w:r>
        <w:rPr>
          <w:rFonts w:cs="Calibri" w:ascii="Calibri" w:hAnsi="Calibri" w:asciiTheme="minorHAnsi" w:cstheme="minorHAnsi" w:hAnsiTheme="minorHAnsi"/>
          <w:sz w:val="24"/>
          <w:szCs w:val="24"/>
          <w:highlight w:val="yellow"/>
        </w:rPr>
        <w:t>support@agritechuniversity.com</w:t>
      </w:r>
    </w:p>
    <w:p>
      <w:pPr>
        <w:pStyle w:val="TextBody"/>
        <w:spacing w:before="1" w:after="0"/>
        <w:ind w:left="20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ind w:left="200" w:hanging="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4" w:after="0"/>
        <w:rPr>
          <w:rFonts w:ascii="Calibri" w:hAnsi="Calibri" w:cs="Calibri" w:asciiTheme="minorHAnsi" w:cstheme="minorHAnsi" w:hAnsiTheme="minorHAnsi"/>
          <w:sz w:val="24"/>
          <w:szCs w:val="24"/>
        </w:rPr>
      </w:pPr>
      <w:r>
        <w:rPr>
          <w:rFonts w:cs="Calibri" w:cstheme="minorHAnsi" w:ascii="Calibri" w:hAnsi="Calibri"/>
          <w:sz w:val="24"/>
          <w:szCs w:val="24"/>
        </w:rPr>
      </w:r>
    </w:p>
    <w:p>
      <w:pPr>
        <w:sectPr>
          <w:type w:val="continuous"/>
          <w:pgSz w:w="11906" w:h="16838"/>
          <w:pgMar w:left="1340" w:right="1320" w:gutter="0" w:header="720" w:top="1020" w:footer="720" w:bottom="1380"/>
          <w:formProt w:val="false"/>
          <w:textDirection w:val="lrTb"/>
          <w:docGrid w:type="default" w:linePitch="600" w:charSpace="36864"/>
        </w:sectPr>
      </w:pP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10" wp14:anchorId="4E758F49">
                <wp:simplePos x="0" y="0"/>
                <wp:positionH relativeFrom="page">
                  <wp:posOffset>855980</wp:posOffset>
                </wp:positionH>
                <wp:positionV relativeFrom="paragraph">
                  <wp:posOffset>38100</wp:posOffset>
                </wp:positionV>
                <wp:extent cx="5067935" cy="1767840"/>
                <wp:effectExtent l="0" t="0" r="0" b="0"/>
                <wp:wrapNone/>
                <wp:docPr id="2" name="Text Box 2"/>
                <a:graphic xmlns:a="http://schemas.openxmlformats.org/drawingml/2006/main">
                  <a:graphicData uri="http://schemas.microsoft.com/office/word/2010/wordprocessingShape">
                    <wps:wsp>
                      <wps:cNvSpPr/>
                      <wps:spPr>
                        <a:xfrm>
                          <a:off x="0" y="0"/>
                          <a:ext cx="5068080" cy="1767960"/>
                        </a:xfrm>
                        <a:prstGeom prst="rect">
                          <a:avLst/>
                        </a:prstGeom>
                        <a:noFill/>
                        <a:ln w="0">
                          <a:noFill/>
                        </a:ln>
                      </wps:spPr>
                      <wps:style>
                        <a:lnRef idx="0"/>
                        <a:fillRef idx="0"/>
                        <a:effectRef idx="0"/>
                        <a:fontRef idx="minor"/>
                      </wps:style>
                      <wps:txb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widowControl w:val="false"/>
                                    <w:spacing w:lineRule="exact" w:line="247"/>
                                    <w:rPr>
                                      <w:b/>
                                    </w:rPr>
                                  </w:pPr>
                                  <w:r>
                                    <w:rPr>
                                      <w:b/>
                                    </w:rPr>
                                    <w:t xml:space="preserve">Name: </w:t>
                                  </w:r>
                                  <w:r>
                                    <w:rPr>
                                      <w:b/>
                                      <w:highlight w:val="yellow"/>
                                    </w:rPr>
                                    <w:t>Don E. Holmes III</w:t>
                                  </w:r>
                                </w:p>
                              </w:tc>
                            </w:tr>
                            <w:tr>
                              <w:trPr>
                                <w:trHeight w:val="492" w:hRule="atLeast"/>
                              </w:trPr>
                              <w:tc>
                                <w:tcPr>
                                  <w:tcW w:w="5151" w:type="dxa"/>
                                  <w:tcBorders/>
                                </w:tcPr>
                                <w:p>
                                  <w:pPr>
                                    <w:pStyle w:val="TableParagraph"/>
                                    <w:widowControl w:val="false"/>
                                    <w:spacing w:before="122" w:after="0"/>
                                    <w:rPr>
                                      <w:b/>
                                    </w:rPr>
                                  </w:pPr>
                                  <w:r>
                                    <w:rPr>
                                      <w:b/>
                                    </w:rPr>
                                    <w:t xml:space="preserve">Position: </w:t>
                                  </w:r>
                                  <w:r>
                                    <w:rPr>
                                      <w:b/>
                                      <w:highlight w:val="yellow"/>
                                    </w:rPr>
                                    <w:t>Owner</w:t>
                                  </w:r>
                                </w:p>
                              </w:tc>
                            </w:tr>
                            <w:tr>
                              <w:trPr>
                                <w:trHeight w:val="492" w:hRule="atLeast"/>
                              </w:trPr>
                              <w:tc>
                                <w:tcPr>
                                  <w:tcW w:w="5151" w:type="dxa"/>
                                  <w:tcBorders/>
                                </w:tcPr>
                                <w:p>
                                  <w:pPr>
                                    <w:pStyle w:val="TableParagraph"/>
                                    <w:widowControl w:val="false"/>
                                    <w:spacing w:before="123" w:after="0"/>
                                    <w:rPr>
                                      <w:b/>
                                    </w:rPr>
                                  </w:pPr>
                                  <w:r>
                                    <w:rPr>
                                      <w:b/>
                                    </w:rPr>
                                    <w:t xml:space="preserve">Date: </w:t>
                                  </w:r>
                                  <w:r>
                                    <w:rPr>
                                      <w:b/>
                                    </w:rPr>
                                    <w:t>1</w:t>
                                  </w:r>
                                  <w:r>
                                    <w:rPr>
                                      <w:b/>
                                      <w:highlight w:val="yellow"/>
                                    </w:rPr>
                                    <w:t>0/16/2024</w:t>
                                  </w:r>
                                </w:p>
                              </w:tc>
                            </w:tr>
                            <w:tr>
                              <w:trPr>
                                <w:trHeight w:val="748" w:hRule="atLeast"/>
                              </w:trPr>
                              <w:tc>
                                <w:tcPr>
                                  <w:tcW w:w="5151" w:type="dxa"/>
                                  <w:tcBorders/>
                                </w:tcPr>
                                <w:p>
                                  <w:pPr>
                                    <w:pStyle w:val="TableParagraph"/>
                                    <w:widowControl w:val="false"/>
                                    <w:spacing w:before="123" w:after="0"/>
                                    <w:rPr>
                                      <w:b/>
                                    </w:rPr>
                                  </w:pPr>
                                  <w:r>
                                    <w:rPr>
                                      <w:b/>
                                    </w:rPr>
                                    <w:t xml:space="preserve">Signature: </w:t>
                                  </w:r>
                                  <w:r>
                                    <w:rPr>
                                      <w:b/>
                                    </w:rPr>
                                    <w:t>D</w:t>
                                  </w:r>
                                  <w:r>
                                    <w:rPr>
                                      <w:b/>
                                      <w:highlight w:val="yellow"/>
                                    </w:rPr>
                                    <w:t>on E. Holmes III</w:t>
                                  </w:r>
                                </w:p>
                              </w:tc>
                            </w:tr>
                            <w:tr>
                              <w:trPr>
                                <w:trHeight w:val="610" w:hRule="atLeast"/>
                              </w:trPr>
                              <w:tc>
                                <w:tcPr>
                                  <w:tcW w:w="5151" w:type="dxa"/>
                                  <w:tcBorders/>
                                </w:tcPr>
                                <w:p>
                                  <w:pPr>
                                    <w:pStyle w:val="TableParagraph"/>
                                    <w:widowControl w:val="false"/>
                                    <w:ind w:left="0" w:hanging="0"/>
                                    <w:rPr>
                                      <w:sz w:val="33"/>
                                    </w:rPr>
                                  </w:pPr>
                                  <w:r>
                                    <w:rPr>
                                      <w:sz w:val="33"/>
                                    </w:rPr>
                                  </w:r>
                                </w:p>
                                <w:p>
                                  <w:pPr>
                                    <w:pStyle w:val="TableParagraph"/>
                                    <w:widowControl w:val="false"/>
                                    <w:spacing w:lineRule="exact" w:line="233"/>
                                    <w:rPr>
                                      <w:b/>
                                    </w:rPr>
                                  </w:pPr>
                                  <w:r>
                                    <w:rPr>
                                      <w:b/>
                                    </w:rPr>
                                    <w:t xml:space="preserve">Review of Policy: </w:t>
                                  </w:r>
                                  <w:r>
                                    <w:rPr>
                                      <w:b/>
                                      <w:highlight w:val="yellow"/>
                                    </w:rPr>
                                    <w:t>Yes</w:t>
                                  </w:r>
                                </w:p>
                              </w:tc>
                            </w:tr>
                          </w:tbl>
                          <w:p>
                            <w:pPr>
                              <w:pStyle w:val="TextBody"/>
                              <w:rPr/>
                            </w:pPr>
                            <w:r>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7.4pt;margin-top:3pt;width:399pt;height:139.15pt;mso-wrap-style:none;v-text-anchor:middle;mso-position-horizontal-relative:page" wp14:anchorId="4E758F49">
                <v:fill o:detectmouseclick="t" on="false"/>
                <v:stroke color="#3465a4" joinstyle="round" endcap="flat"/>
                <v:textbox>
                  <w:txbxContent>
                    <w:tbl>
                      <w:tblPr>
                        <w:tblW w:w="515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151"/>
                      </w:tblGrid>
                      <w:tr>
                        <w:trPr>
                          <w:trHeight w:val="354" w:hRule="atLeast"/>
                        </w:trPr>
                        <w:tc>
                          <w:tcPr>
                            <w:tcW w:w="5151" w:type="dxa"/>
                            <w:tcBorders/>
                          </w:tcPr>
                          <w:p>
                            <w:pPr>
                              <w:pStyle w:val="TableParagraph"/>
                              <w:widowControl w:val="false"/>
                              <w:spacing w:lineRule="exact" w:line="247"/>
                              <w:rPr>
                                <w:b/>
                              </w:rPr>
                            </w:pPr>
                            <w:r>
                              <w:rPr>
                                <w:b/>
                              </w:rPr>
                              <w:t xml:space="preserve">Name: </w:t>
                            </w:r>
                            <w:r>
                              <w:rPr>
                                <w:b/>
                                <w:highlight w:val="yellow"/>
                              </w:rPr>
                              <w:t>Don E. Holmes III</w:t>
                            </w:r>
                          </w:p>
                        </w:tc>
                      </w:tr>
                      <w:tr>
                        <w:trPr>
                          <w:trHeight w:val="492" w:hRule="atLeast"/>
                        </w:trPr>
                        <w:tc>
                          <w:tcPr>
                            <w:tcW w:w="5151" w:type="dxa"/>
                            <w:tcBorders/>
                          </w:tcPr>
                          <w:p>
                            <w:pPr>
                              <w:pStyle w:val="TableParagraph"/>
                              <w:widowControl w:val="false"/>
                              <w:spacing w:before="122" w:after="0"/>
                              <w:rPr>
                                <w:b/>
                              </w:rPr>
                            </w:pPr>
                            <w:r>
                              <w:rPr>
                                <w:b/>
                              </w:rPr>
                              <w:t xml:space="preserve">Position: </w:t>
                            </w:r>
                            <w:r>
                              <w:rPr>
                                <w:b/>
                                <w:highlight w:val="yellow"/>
                              </w:rPr>
                              <w:t>Owner</w:t>
                            </w:r>
                          </w:p>
                        </w:tc>
                      </w:tr>
                      <w:tr>
                        <w:trPr>
                          <w:trHeight w:val="492" w:hRule="atLeast"/>
                        </w:trPr>
                        <w:tc>
                          <w:tcPr>
                            <w:tcW w:w="5151" w:type="dxa"/>
                            <w:tcBorders/>
                          </w:tcPr>
                          <w:p>
                            <w:pPr>
                              <w:pStyle w:val="TableParagraph"/>
                              <w:widowControl w:val="false"/>
                              <w:spacing w:before="123" w:after="0"/>
                              <w:rPr>
                                <w:b/>
                              </w:rPr>
                            </w:pPr>
                            <w:r>
                              <w:rPr>
                                <w:b/>
                              </w:rPr>
                              <w:t xml:space="preserve">Date: </w:t>
                            </w:r>
                            <w:r>
                              <w:rPr>
                                <w:b/>
                              </w:rPr>
                              <w:t>1</w:t>
                            </w:r>
                            <w:r>
                              <w:rPr>
                                <w:b/>
                                <w:highlight w:val="yellow"/>
                              </w:rPr>
                              <w:t>0/16/2024</w:t>
                            </w:r>
                          </w:p>
                        </w:tc>
                      </w:tr>
                      <w:tr>
                        <w:trPr>
                          <w:trHeight w:val="748" w:hRule="atLeast"/>
                        </w:trPr>
                        <w:tc>
                          <w:tcPr>
                            <w:tcW w:w="5151" w:type="dxa"/>
                            <w:tcBorders/>
                          </w:tcPr>
                          <w:p>
                            <w:pPr>
                              <w:pStyle w:val="TableParagraph"/>
                              <w:widowControl w:val="false"/>
                              <w:spacing w:before="123" w:after="0"/>
                              <w:rPr>
                                <w:b/>
                              </w:rPr>
                            </w:pPr>
                            <w:r>
                              <w:rPr>
                                <w:b/>
                              </w:rPr>
                              <w:t xml:space="preserve">Signature: </w:t>
                            </w:r>
                            <w:r>
                              <w:rPr>
                                <w:b/>
                              </w:rPr>
                              <w:t>D</w:t>
                            </w:r>
                            <w:r>
                              <w:rPr>
                                <w:b/>
                                <w:highlight w:val="yellow"/>
                              </w:rPr>
                              <w:t>on E. Holmes III</w:t>
                            </w:r>
                          </w:p>
                        </w:tc>
                      </w:tr>
                      <w:tr>
                        <w:trPr>
                          <w:trHeight w:val="610" w:hRule="atLeast"/>
                        </w:trPr>
                        <w:tc>
                          <w:tcPr>
                            <w:tcW w:w="5151" w:type="dxa"/>
                            <w:tcBorders/>
                          </w:tcPr>
                          <w:p>
                            <w:pPr>
                              <w:pStyle w:val="TableParagraph"/>
                              <w:widowControl w:val="false"/>
                              <w:ind w:left="0" w:hanging="0"/>
                              <w:rPr>
                                <w:sz w:val="33"/>
                              </w:rPr>
                            </w:pPr>
                            <w:r>
                              <w:rPr>
                                <w:sz w:val="33"/>
                              </w:rPr>
                            </w:r>
                          </w:p>
                          <w:p>
                            <w:pPr>
                              <w:pStyle w:val="TableParagraph"/>
                              <w:widowControl w:val="false"/>
                              <w:spacing w:lineRule="exact" w:line="233"/>
                              <w:rPr>
                                <w:b/>
                              </w:rPr>
                            </w:pPr>
                            <w:r>
                              <w:rPr>
                                <w:b/>
                              </w:rPr>
                              <w:t xml:space="preserve">Review of Policy: </w:t>
                            </w:r>
                            <w:r>
                              <w:rPr>
                                <w:b/>
                                <w:highlight w:val="yellow"/>
                              </w:rPr>
                              <w:t>Yes</w:t>
                            </w:r>
                          </w:p>
                        </w:tc>
                      </w:tr>
                    </w:tbl>
                    <w:p>
                      <w:pPr>
                        <w:pStyle w:val="TextBody"/>
                        <w:rPr/>
                      </w:pPr>
                      <w:r>
                        <w:rPr/>
                      </w:r>
                    </w:p>
                  </w:txbxContent>
                </v:textbox>
                <w10:wrap type="none"/>
              </v:rect>
            </w:pict>
          </mc:Fallback>
        </mc:AlternateContent>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rPr>
          <w:rFonts w:ascii="Calibri" w:hAnsi="Calibri" w:cs="Calibri" w:asciiTheme="minorHAnsi" w:cstheme="minorHAnsi" w:hAnsiTheme="minorHAnsi"/>
          <w:sz w:val="24"/>
          <w:szCs w:val="24"/>
        </w:rPr>
      </w:pPr>
      <w:r>
        <w:rPr>
          <w:rFonts w:cs="Calibri" w:cstheme="minorHAnsi" w:ascii="Calibri" w:hAnsi="Calibri"/>
          <w:sz w:val="24"/>
          <w:szCs w:val="24"/>
        </w:rPr>
      </w:r>
    </w:p>
    <w:p>
      <w:pPr>
        <w:pStyle w:val="TextBody"/>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489" w:before="93" w:after="0"/>
        <w:ind w:left="101" w:right="5149" w:hanging="53"/>
        <w:jc w:val="center"/>
        <w:rPr>
          <w:sz w:val="20"/>
        </w:rPr>
      </w:pPr>
      <w:r>
        <w:br w:type="column"/>
      </w:r>
      <w:r>
        <w:rPr>
          <w:sz w:val="20"/>
        </w:rPr>
      </w:r>
    </w:p>
    <w:p>
      <w:pPr>
        <w:pStyle w:val="Normal"/>
        <w:spacing w:before="65" w:after="0"/>
        <w:ind w:left="249" w:right="5256" w:hanging="0"/>
        <w:jc w:val="center"/>
        <w:rPr>
          <w:sz w:val="20"/>
        </w:rPr>
      </w:pPr>
      <w:r>
        <w:rPr/>
      </w:r>
    </w:p>
    <w:sectPr>
      <w:type w:val="continuous"/>
      <w:pgSz w:w="11906" w:h="16838"/>
      <w:pgMar w:left="1340" w:right="1320" w:gutter="0" w:header="720" w:top="1020" w:footer="720" w:bottom="1380"/>
      <w:cols w:num="2" w:equalWidth="false" w:sep="false">
        <w:col w:w="3304" w:space="40"/>
        <w:col w:w="5901"/>
      </w:cols>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12"/>
      <w:rPr>
        <w:sz w:val="20"/>
      </w:rPr>
    </w:pPr>
    <w:r>
      <w:rPr>
        <w:sz w:val="20"/>
      </w:rPr>
      <mc:AlternateContent>
        <mc:Choice Requires="wps">
          <w:drawing>
            <wp:anchor behindDoc="1" distT="0" distB="0" distL="0" distR="0" simplePos="0" locked="0" layoutInCell="0" allowOverlap="1" relativeHeight="8" wp14:anchorId="09F99875">
              <wp:simplePos x="0" y="0"/>
              <wp:positionH relativeFrom="page">
                <wp:posOffset>901700</wp:posOffset>
              </wp:positionH>
              <wp:positionV relativeFrom="page">
                <wp:posOffset>440055</wp:posOffset>
              </wp:positionV>
              <wp:extent cx="2270760" cy="224790"/>
              <wp:effectExtent l="0" t="0" r="0" b="0"/>
              <wp:wrapNone/>
              <wp:docPr id="1" name="Text Box 6"/>
              <a:graphic xmlns:a="http://schemas.openxmlformats.org/drawingml/2006/main">
                <a:graphicData uri="http://schemas.microsoft.com/office/word/2010/wordprocessingShape">
                  <wps:wsp>
                    <wps:cNvSpPr/>
                    <wps:spPr>
                      <a:xfrm>
                        <a:off x="0" y="0"/>
                        <a:ext cx="2270880" cy="224640"/>
                      </a:xfrm>
                      <a:prstGeom prst="rect">
                        <a:avLst/>
                      </a:prstGeom>
                      <a:noFill/>
                      <a:ln w="0">
                        <a:noFill/>
                      </a:ln>
                    </wps:spPr>
                    <wps:style>
                      <a:lnRef idx="0"/>
                      <a:fillRef idx="0"/>
                      <a:effectRef idx="0"/>
                      <a:fontRef idx="minor"/>
                    </wps:style>
                    <wps:txbx>
                      <w:txbxContent>
                        <w:p>
                          <w:pPr>
                            <w:pStyle w:val="FrameContents"/>
                            <w:spacing w:before="11" w:after="0"/>
                            <w:ind w:left="20" w:hanging="0"/>
                            <w:rPr>
                              <w:sz w:val="28"/>
                            </w:rPr>
                          </w:pPr>
                          <w:r>
                            <w:rPr>
                              <w:sz w:val="28"/>
                            </w:rPr>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71pt;margin-top:34.65pt;width:178.75pt;height:17.65pt;mso-wrap-style:none;v-text-anchor:middle;mso-position-horizontal-relative:page;mso-position-vertical-relative:page" wp14:anchorId="09F99875">
              <v:fill o:detectmouseclick="t" on="false"/>
              <v:stroke color="#3465a4" joinstyle="round" endcap="flat"/>
              <v:textbox>
                <w:txbxContent>
                  <w:p>
                    <w:pPr>
                      <w:pStyle w:val="FrameContents"/>
                      <w:spacing w:before="11" w:after="0"/>
                      <w:ind w:left="20" w:hanging="0"/>
                      <w:rPr>
                        <w:sz w:val="28"/>
                      </w:rPr>
                    </w:pPr>
                    <w:r>
                      <w:rPr>
                        <w:sz w:val="28"/>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0" w:hanging="243"/>
      </w:pPr>
      <w:rPr>
        <w:sz w:val="22"/>
        <w:b/>
        <w:szCs w:val="22"/>
        <w:bCs/>
        <w:w w:val="100"/>
        <w:rFonts w:ascii="Arial" w:hAnsi="Arial" w:eastAsia="Arial" w:cs="Arial"/>
      </w:rPr>
    </w:lvl>
    <w:lvl w:ilvl="1">
      <w:start w:val="0"/>
      <w:numFmt w:val="bullet"/>
      <w:lvlText w:val=""/>
      <w:lvlJc w:val="left"/>
      <w:pPr>
        <w:tabs>
          <w:tab w:val="num" w:pos="0"/>
        </w:tabs>
        <w:ind w:left="1018" w:hanging="243"/>
      </w:pPr>
      <w:rPr>
        <w:rFonts w:ascii="Symbol" w:hAnsi="Symbol" w:cs="Symbol" w:hint="default"/>
      </w:rPr>
    </w:lvl>
    <w:lvl w:ilvl="2">
      <w:start w:val="0"/>
      <w:numFmt w:val="bullet"/>
      <w:lvlText w:val=""/>
      <w:lvlJc w:val="left"/>
      <w:pPr>
        <w:tabs>
          <w:tab w:val="num" w:pos="0"/>
        </w:tabs>
        <w:ind w:left="1937" w:hanging="243"/>
      </w:pPr>
      <w:rPr>
        <w:rFonts w:ascii="Symbol" w:hAnsi="Symbol" w:cs="Symbol" w:hint="default"/>
      </w:rPr>
    </w:lvl>
    <w:lvl w:ilvl="3">
      <w:start w:val="0"/>
      <w:numFmt w:val="bullet"/>
      <w:lvlText w:val=""/>
      <w:lvlJc w:val="left"/>
      <w:pPr>
        <w:tabs>
          <w:tab w:val="num" w:pos="0"/>
        </w:tabs>
        <w:ind w:left="2855" w:hanging="243"/>
      </w:pPr>
      <w:rPr>
        <w:rFonts w:ascii="Symbol" w:hAnsi="Symbol" w:cs="Symbol" w:hint="default"/>
      </w:rPr>
    </w:lvl>
    <w:lvl w:ilvl="4">
      <w:start w:val="0"/>
      <w:numFmt w:val="bullet"/>
      <w:lvlText w:val=""/>
      <w:lvlJc w:val="left"/>
      <w:pPr>
        <w:tabs>
          <w:tab w:val="num" w:pos="0"/>
        </w:tabs>
        <w:ind w:left="3774" w:hanging="243"/>
      </w:pPr>
      <w:rPr>
        <w:rFonts w:ascii="Symbol" w:hAnsi="Symbol" w:cs="Symbol" w:hint="default"/>
      </w:rPr>
    </w:lvl>
    <w:lvl w:ilvl="5">
      <w:start w:val="0"/>
      <w:numFmt w:val="bullet"/>
      <w:lvlText w:val=""/>
      <w:lvlJc w:val="left"/>
      <w:pPr>
        <w:tabs>
          <w:tab w:val="num" w:pos="0"/>
        </w:tabs>
        <w:ind w:left="4693" w:hanging="243"/>
      </w:pPr>
      <w:rPr>
        <w:rFonts w:ascii="Symbol" w:hAnsi="Symbol" w:cs="Symbol" w:hint="default"/>
      </w:rPr>
    </w:lvl>
    <w:lvl w:ilvl="6">
      <w:start w:val="0"/>
      <w:numFmt w:val="bullet"/>
      <w:lvlText w:val=""/>
      <w:lvlJc w:val="left"/>
      <w:pPr>
        <w:tabs>
          <w:tab w:val="num" w:pos="0"/>
        </w:tabs>
        <w:ind w:left="5611" w:hanging="243"/>
      </w:pPr>
      <w:rPr>
        <w:rFonts w:ascii="Symbol" w:hAnsi="Symbol" w:cs="Symbol" w:hint="default"/>
      </w:rPr>
    </w:lvl>
    <w:lvl w:ilvl="7">
      <w:start w:val="0"/>
      <w:numFmt w:val="bullet"/>
      <w:lvlText w:val=""/>
      <w:lvlJc w:val="left"/>
      <w:pPr>
        <w:tabs>
          <w:tab w:val="num" w:pos="0"/>
        </w:tabs>
        <w:ind w:left="6530" w:hanging="243"/>
      </w:pPr>
      <w:rPr>
        <w:rFonts w:ascii="Symbol" w:hAnsi="Symbol" w:cs="Symbol" w:hint="default"/>
      </w:rPr>
    </w:lvl>
    <w:lvl w:ilvl="8">
      <w:start w:val="0"/>
      <w:numFmt w:val="bullet"/>
      <w:lvlText w:val=""/>
      <w:lvlJc w:val="left"/>
      <w:pPr>
        <w:tabs>
          <w:tab w:val="num" w:pos="0"/>
        </w:tabs>
        <w:ind w:left="7449" w:hanging="243"/>
      </w:pPr>
      <w:rPr>
        <w:rFonts w:ascii="Symbol" w:hAnsi="Symbol" w:cs="Symbol" w:hint="default"/>
      </w:rPr>
    </w:lvl>
  </w:abstractNum>
  <w:abstractNum w:abstractNumId="2">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9">
    <w:lvl w:ilvl="0">
      <w:numFmt w:val="bullet"/>
      <w:lvlText w:val="o"/>
      <w:lvlJc w:val="left"/>
      <w:pPr>
        <w:tabs>
          <w:tab w:val="num" w:pos="0"/>
        </w:tabs>
        <w:ind w:left="1540" w:hanging="360"/>
      </w:pPr>
      <w:rPr>
        <w:rFonts w:ascii="Courier New" w:hAnsi="Courier New" w:cs="Courier New" w:hint="default"/>
        <w:sz w:val="22"/>
        <w:szCs w:val="22"/>
        <w:w w:val="100"/>
      </w:rPr>
    </w:lvl>
    <w:lvl w:ilvl="1">
      <w:start w:val="1"/>
      <w:numFmt w:val="bullet"/>
      <w:lvlText w:val="o"/>
      <w:lvlJc w:val="left"/>
      <w:pPr>
        <w:tabs>
          <w:tab w:val="num" w:pos="0"/>
        </w:tabs>
        <w:ind w:left="2260" w:hanging="360"/>
      </w:pPr>
      <w:rPr>
        <w:rFonts w:ascii="Courier New" w:hAnsi="Courier New" w:cs="Courier New" w:hint="default"/>
      </w:rPr>
    </w:lvl>
    <w:lvl w:ilvl="2">
      <w:start w:val="1"/>
      <w:numFmt w:val="bullet"/>
      <w:lvlText w:val=""/>
      <w:lvlJc w:val="left"/>
      <w:pPr>
        <w:tabs>
          <w:tab w:val="num" w:pos="0"/>
        </w:tabs>
        <w:ind w:left="2980" w:hanging="360"/>
      </w:pPr>
      <w:rPr>
        <w:rFonts w:ascii="Wingdings" w:hAnsi="Wingdings" w:cs="Wingdings" w:hint="default"/>
      </w:rPr>
    </w:lvl>
    <w:lvl w:ilvl="3">
      <w:start w:val="1"/>
      <w:numFmt w:val="bullet"/>
      <w:lvlText w:val=""/>
      <w:lvlJc w:val="left"/>
      <w:pPr>
        <w:tabs>
          <w:tab w:val="num" w:pos="0"/>
        </w:tabs>
        <w:ind w:left="3700" w:hanging="360"/>
      </w:pPr>
      <w:rPr>
        <w:rFonts w:ascii="Symbol" w:hAnsi="Symbol" w:cs="Symbol" w:hint="default"/>
      </w:rPr>
    </w:lvl>
    <w:lvl w:ilvl="4">
      <w:start w:val="1"/>
      <w:numFmt w:val="bullet"/>
      <w:lvlText w:val="o"/>
      <w:lvlJc w:val="left"/>
      <w:pPr>
        <w:tabs>
          <w:tab w:val="num" w:pos="0"/>
        </w:tabs>
        <w:ind w:left="4420" w:hanging="360"/>
      </w:pPr>
      <w:rPr>
        <w:rFonts w:ascii="Courier New" w:hAnsi="Courier New" w:cs="Courier New" w:hint="default"/>
      </w:rPr>
    </w:lvl>
    <w:lvl w:ilvl="5">
      <w:start w:val="1"/>
      <w:numFmt w:val="bullet"/>
      <w:lvlText w:val=""/>
      <w:lvlJc w:val="left"/>
      <w:pPr>
        <w:tabs>
          <w:tab w:val="num" w:pos="0"/>
        </w:tabs>
        <w:ind w:left="5140" w:hanging="360"/>
      </w:pPr>
      <w:rPr>
        <w:rFonts w:ascii="Wingdings" w:hAnsi="Wingdings" w:cs="Wingdings" w:hint="default"/>
      </w:rPr>
    </w:lvl>
    <w:lvl w:ilvl="6">
      <w:start w:val="1"/>
      <w:numFmt w:val="bullet"/>
      <w:lvlText w:val=""/>
      <w:lvlJc w:val="left"/>
      <w:pPr>
        <w:tabs>
          <w:tab w:val="num" w:pos="0"/>
        </w:tabs>
        <w:ind w:left="5860" w:hanging="360"/>
      </w:pPr>
      <w:rPr>
        <w:rFonts w:ascii="Symbol" w:hAnsi="Symbol" w:cs="Symbol" w:hint="default"/>
      </w:rPr>
    </w:lvl>
    <w:lvl w:ilvl="7">
      <w:start w:val="1"/>
      <w:numFmt w:val="bullet"/>
      <w:lvlText w:val="o"/>
      <w:lvlJc w:val="left"/>
      <w:pPr>
        <w:tabs>
          <w:tab w:val="num" w:pos="0"/>
        </w:tabs>
        <w:ind w:left="6580" w:hanging="360"/>
      </w:pPr>
      <w:rPr>
        <w:rFonts w:ascii="Courier New" w:hAnsi="Courier New" w:cs="Courier New" w:hint="default"/>
      </w:rPr>
    </w:lvl>
    <w:lvl w:ilvl="8">
      <w:start w:val="1"/>
      <w:numFmt w:val="bullet"/>
      <w:lvlText w:val=""/>
      <w:lvlJc w:val="left"/>
      <w:pPr>
        <w:tabs>
          <w:tab w:val="num" w:pos="0"/>
        </w:tabs>
        <w:ind w:left="7300" w:hanging="360"/>
      </w:pPr>
      <w:rPr>
        <w:rFonts w:ascii="Wingdings" w:hAnsi="Wingdings" w:cs="Wingdings" w:hint="default"/>
      </w:rPr>
    </w:lvl>
  </w:abstractNum>
  <w:abstractNum w:abstractNumId="10">
    <w:lvl w:ilvl="0">
      <w:numFmt w:val="bullet"/>
      <w:lvlText w:val="o"/>
      <w:lvlJc w:val="left"/>
      <w:pPr>
        <w:tabs>
          <w:tab w:val="num" w:pos="0"/>
        </w:tabs>
        <w:ind w:left="720" w:hanging="360"/>
      </w:pPr>
      <w:rPr>
        <w:rFonts w:ascii="Courier New" w:hAnsi="Courier New" w:cs="Courier New" w:hint="default"/>
        <w:sz w:val="22"/>
        <w:szCs w:val="22"/>
        <w:w w:val="1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left="100" w:hanging="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153a9"/>
    <w:rPr>
      <w:rFonts w:ascii="Arial" w:hAnsi="Arial" w:eastAsia="Arial" w:cs="Arial"/>
    </w:rPr>
  </w:style>
  <w:style w:type="character" w:styleId="FooterChar" w:customStyle="1">
    <w:name w:val="Footer Char"/>
    <w:basedOn w:val="DefaultParagraphFont"/>
    <w:link w:val="Footer"/>
    <w:uiPriority w:val="99"/>
    <w:qFormat/>
    <w:rsid w:val="00d153a9"/>
    <w:rPr>
      <w:rFonts w:ascii="Arial" w:hAnsi="Arial" w:eastAsia="Arial" w:cs="Aria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ind w:left="100" w:right="117" w:hanging="0"/>
    </w:pPr>
    <w:rPr/>
  </w:style>
  <w:style w:type="paragraph" w:styleId="TableParagraph" w:customStyle="1">
    <w:name w:val="Table Paragraph"/>
    <w:basedOn w:val="Normal"/>
    <w:uiPriority w:val="1"/>
    <w:qFormat/>
    <w:pPr>
      <w:ind w:left="200" w:hanging="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153a9"/>
    <w:pPr>
      <w:tabs>
        <w:tab w:val="clear" w:pos="720"/>
        <w:tab w:val="center" w:pos="4513" w:leader="none"/>
        <w:tab w:val="right" w:pos="9026" w:leader="none"/>
      </w:tabs>
    </w:pPr>
    <w:rPr/>
  </w:style>
  <w:style w:type="paragraph" w:styleId="Footer">
    <w:name w:val="Footer"/>
    <w:basedOn w:val="Normal"/>
    <w:link w:val="FooterChar"/>
    <w:uiPriority w:val="99"/>
    <w:unhideWhenUsed/>
    <w:rsid w:val="00d153a9"/>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LibreOffice/7.5.4.2$Windows_X86_64 LibreOffice_project/36ccfdc35048b057fd9854c757a8b67ec53977b6</Application>
  <AppVersion>15.0000</AppVersion>
  <Pages>4</Pages>
  <Words>1235</Words>
  <Characters>6941</Characters>
  <CharactersWithSpaces>8059</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2022-12-05T16:44:00Z</dcterms:created>
  <dc:creator>Sue Mottershead</dc:creator>
  <dc:description/>
  <dc:language>en-US</dc:language>
  <cp:lastModifiedBy/>
  <dcterms:modified xsi:type="dcterms:W3CDTF">2024-10-16T19:08:54Z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